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r>
        <w:t>Test-Etui 1  © Thomas Techau  www.techau-resonator.de</w:t>
      </w:r>
    </w:p>
    <w:tbl>
      <w:tblPr>
        <w:tblStyle w:val="TableNormal"/>
        <w:name w:val="Tabelle1"/>
        <w:tabOrder w:val="0"/>
        <w:jc w:val="left"/>
        <w:tblInd w:w="0" w:type="dxa"/>
        <w:tblW w:w="9097" w:type="dxa"/>
        <w:tblLook w:val="0200" w:firstRow="0" w:lastRow="0" w:firstColumn="0" w:lastColumn="0" w:noHBand="1" w:noVBand="0"/>
      </w:tblPr>
      <w:tblGrid>
        <w:gridCol w:w="555"/>
        <w:gridCol w:w="2959"/>
        <w:gridCol w:w="5583"/>
      </w:tblGrid>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Pr>
                <w:b/>
              </w:rPr>
            </w:pPr>
            <w:r>
              <w:rPr>
                <w:b/>
              </w:rPr>
              <w:t>Name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eastAsia="SimSun"/>
                <w:sz w:val="20"/>
                <w:szCs w:val="20"/>
                <w:lang w:eastAsia="zh-cn"/>
              </w:rPr>
            </w:pPr>
            <w:r>
              <w:rPr>
                <w:rFonts w:eastAsia="SimSun"/>
                <w:sz w:val="20"/>
                <w:szCs w:val="20"/>
                <w:lang w:eastAsia="zh-cn"/>
              </w:rPr>
              <w:t>Verwendung</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Maske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Als Zugabe werden Glaubenssätze, verfestigte Überzeugungen und dergl. umgangen. Ein Blick hinter das Ego. Kann manch rätselhafte Fälle lösen, weil Störherde angezeigt werden, sie zuvor ausgeblendet, verdrängt waren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eastAsia="SimSun"/>
                <w:sz w:val="20"/>
                <w:szCs w:val="20"/>
                <w:lang w:eastAsia="zh-cn"/>
              </w:rPr>
            </w:pPr>
            <w:r>
              <w:rPr>
                <w:rFonts w:eastAsia="SimSun"/>
                <w:sz w:val="20"/>
                <w:szCs w:val="20"/>
                <w:lang w:eastAsia="zh-cn"/>
              </w:rPr>
              <w:t>global Punkt</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 Kombination mit spezifischen Dignoseröhrchen: Alle entsprechenden Störherde im System werden über dieser Stelle angezeigt.</w:t>
              <w:br w:type="textWrapping"/>
              <w:t>Beispiel: Kombiniert mit Entzündung kann festgestellt werden, ob ein Entzündungsherd (oder mehrere) im Körper sind und in welcher Stärke (Mehrfach-RAC möglich)  erfolgreich bei Tumor suche (ZW maligne).</w:t>
            </w:r>
          </w:p>
          <w:p>
            <w:pPr/>
            <w:r>
              <w:t>Eine eingehende Untersuchung per lokaler Resonanz kann dann ausgelassen oder zielgerichtet durchgeführt werden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Therapiehindernisse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Wenn ein Mittel nicht wie gewünscht testet/anschlägt, kann ein unerkanntes Therapiehindernis vorliegen: Wirbelblockade, Zahnspange, Intox, starker Stöherd u.v.m. In einem Fall, bei einer starken Kaffeerinkerin, war es Kaffee/Koffein. Die Therapie schlug erst an nach Umstellung auf koffeinfreien Kaffee</w:t>
              <w:br w:type="textWrapping"/>
              <w:t>„Therapiehindernisse“ ist darauf ausgerichtet, Störherde mit dieser Auswirkung zu finden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Lateralität </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Zur sicheren Bestimmung der Lateralität. Erforderlich z.B. bei der „Allergielöschung“ nach Altrock. Störungen der Lateralität / Gehirndominanz können eine Reihe von  Problemen verursachen (ADHS)  und ebenfalls ein Therapiehindernis darstellen. Ursprünglich als 3. obligate Untersuchung in Altrocks „Praktische Einführung…) genannt, später herausgenommen, „um es nicht zu kompliziertr zu machen</w:t>
              <w:br w:type="textWrapping"/>
              <w:t>Erzeugt bei sim. Zugabe Oszillation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Ursache Inv/Osz</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Zur Auffindung starker, Inversion oder Oszillation auslösender Störherde-. Testung per lokaer Resonanz vor Invers / Oszill-Behandlung, ggf unter Zugabe von Osz/Inv temp.</w:t>
              <w:br w:type="textWrapping"/>
              <w:t>Nach Behandlung eines gefundenen Störherdes sollte eine zuvor bemerkte Oszillation oder Inversion nicht mehr testbar sein. Dies ist, sofern möglich,  der „Königsweg“ gegenüber einer einer schnellen Korrektur von Oszillation oder Inversion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Störherd allgemein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Zur allgemeinen Suche von Störherden per lok. Resonanz , und anschließender Bestimmung der Stärke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ursächl. Störherd</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Zur Bestimmung eines Störherdes, der „aus sich heraus“ besteht. Alle weiteren Ursachen wie Infekt,Intox, Psyche usw. bleiben erhalten. Das Kriterium ist, dass dieser Herd nicht direkt von einem anderen getriggert ist (s.u.), sondern „normal“ ins symptomatische Geschehen eingebettet ist.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abhängiger Störherd</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Störherd, der  von einem anderen Störherd getriggert ist. Verschwindet, wenn der Auslöser behandelt ist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Fern-Herd Start</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Findet einen ausstrahlenden Störherd, der andere Störherde erzeugt oder unterstützt. Wenn ein Organbefund sich nicht bessert wie erhofft, könnte ein „ursächlicher“, übergeordneter Herd die Ursache dafür sein, bei Gelenken z.B.</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 Fern-Herd Ziel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Findet den Störherd der von einem ausstrahlenden Störherd erzeugt oder unterstützt wird. Meist eine direkte Beziehung gefunden, aber es gibt auch verschachtelte Störherde, Störherd-Ketten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&lt; Kette Teil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Mit Beziehung „vorwärts“ und „rückwärts“</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&lt; Kette Ende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Endpunkt einer Störherdkette. Es gibt Fälle, in denen sich drei oder vier Störherde bessern /auflösen, wenn der Ursprung gefunden und behandelt wird. Zur sim Wegnahme geeignet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versteckter Herd</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Getarnte, versteckte Herde, die zunächst unauffällig erscheinen. Oft auch über die Suche mit Filtern zu finden.</w:t>
              <w:br w:type="textWrapping"/>
              <w:t>Auf die Idee mit den Filtern bin ich gekommen, als ein Pat. mit Darmbeschwerden nirgendwo über dem Darm eine Abweichung &gt;5° aufwies. Der spontan erfunden Filter „Infektion“ fand schnell eine Abweichung von 90°. Mit der behandelten Infektion verschwanden auch die Darmbeschwerden.</w:t>
            </w:r>
          </w:p>
        </w:tc>
      </w:tr>
      <w:tr>
        <w:trPr>
          <w:tblHeader w:val="0"/>
          <w:cantSplit w:val="0"/>
          <w:trHeight w:val="260" w:hRule="atLeast"/>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&gt; Blockaden </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Blockaden aller Art. Wirken oft als Therapiehindernis. Die Herkunft der Blockade ist gesondert zu bestimmen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Dickdarm</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Globalfilter für Störherde / Belastungen im Dickdarm</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Dünndarm</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Globalfilter für Störherde / Belastungen im Dünndarm</w:t>
            </w:r>
          </w:p>
        </w:tc>
      </w:tr>
      <w:tr>
        <w:trPr>
          <w:tblHeader w:val="0"/>
          <w:cantSplit w:val="0"/>
          <w:trHeight w:val="120" w:hRule="atLeast"/>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Darm global Punkt</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Findet über einer Stelle alle Darmstörherde (= muss ich genauer suchen?)</w:t>
            </w:r>
          </w:p>
          <w:p>
            <w:pPr/>
            <w:r>
              <w:t>Mögliche Kombination mit ursächlicher/abhängiger Herd</w:t>
            </w:r>
          </w:p>
        </w:tc>
      </w:tr>
      <w:tr>
        <w:trPr>
          <w:tblHeader w:val="0"/>
          <w:cantSplit w:val="0"/>
          <w:trHeight w:val="120" w:hRule="atLeast"/>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Darm lokal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Filter zum Abklären spezifischer Darmherde und zur Therapiekontrolle</w:t>
              <w:br w:type="textWrapping"/>
              <w:t>Auch hier Kombination mit ursächlicher/abhängiger Herd oder, besonders elegant, über die entsprechende Ebenendefinition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 Narben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Filter zur Beurteilung von Narbenstörherden und zur Therapiekontrolle. Findet auch innere Narben oder Narben auf der psych/seel Ebene - in Kombination mit der entsprechenden Ebenendefinition</w:t>
            </w:r>
          </w:p>
        </w:tc>
      </w:tr>
      <w:tr>
        <w:trPr>
          <w:tblHeader w:val="0"/>
          <w:cantSplit w:val="0"/>
          <w:trHeight w:val="268" w:hRule="atLeast"/>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Infektion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Zur Suche per lokaler Resonanz, zur Wegnahme geeignet.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Infektion Filter</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Filter für Stärke der Beeinträchtigung und zur Therapiekontrolle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Borrelien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Dto., allerdings gezielt für den Borreliose-Komplex (Borrelien nebst Co-Infektionen)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Borrelien-Filter</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 Infektion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ascii="Adobe Garamond Pro" w:hAnsi="Adobe Garamond Pro" w:eastAsia="Adobe Garamond Pro" w:cs="Adobe Garamond Pro"/>
                <w:b/>
                <w:bCs/>
                <w:sz w:val="21"/>
                <w:szCs w:val="21"/>
                <w:lang w:eastAsia="zh-cn" w:bidi="hi-in"/>
              </w:rPr>
            </w:pPr>
            <w:r>
              <w:rPr>
                <w:rFonts w:ascii="Adobe Garamond Pro" w:hAnsi="Adobe Garamond Pro" w:eastAsia="Adobe Garamond Pro" w:cs="Adobe Garamond Pro"/>
                <w:b/>
                <w:bCs/>
                <w:sz w:val="21"/>
                <w:szCs w:val="21"/>
                <w:lang w:eastAsia="zh-cn" w:bidi="hi-in"/>
              </w:rPr>
              <w:t>Protozoen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Weiterer Filter zu Bestimmung der Infektion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ascii="Adobe Garamond Pro" w:hAnsi="Adobe Garamond Pro" w:eastAsia="Adobe Garamond Pro" w:cs="Adobe Garamond Pro"/>
                <w:b/>
                <w:bCs/>
                <w:sz w:val="21"/>
                <w:szCs w:val="21"/>
                <w:lang w:eastAsia="zh-cn" w:bidi="hi-in"/>
              </w:rPr>
            </w:pPr>
            <w:r>
              <w:rPr>
                <w:rFonts w:ascii="Adobe Garamond Pro" w:hAnsi="Adobe Garamond Pro" w:eastAsia="Adobe Garamond Pro" w:cs="Adobe Garamond Pro"/>
                <w:b/>
                <w:bCs/>
                <w:sz w:val="21"/>
                <w:szCs w:val="21"/>
                <w:lang w:eastAsia="zh-cn" w:bidi="hi-in"/>
              </w:rPr>
              <w:t>Bakterien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Weiterer Filter zu Bestimmung der Infektion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ascii="Adobe Garamond Pro" w:hAnsi="Adobe Garamond Pro" w:eastAsia="Adobe Garamond Pro" w:cs="Adobe Garamond Pro"/>
                <w:b/>
                <w:bCs/>
                <w:sz w:val="21"/>
                <w:szCs w:val="21"/>
                <w:lang w:eastAsia="zh-cn" w:bidi="hi-in"/>
              </w:rPr>
            </w:pPr>
            <w:r>
              <w:rPr>
                <w:rFonts w:ascii="Adobe Garamond Pro" w:hAnsi="Adobe Garamond Pro" w:eastAsia="Adobe Garamond Pro" w:cs="Adobe Garamond Pro"/>
                <w:b/>
                <w:bCs/>
                <w:sz w:val="21"/>
                <w:szCs w:val="21"/>
                <w:lang w:eastAsia="zh-cn" w:bidi="hi-in"/>
              </w:rPr>
              <w:t>Viren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Weiterer Filter zu Bestimmung der Infektion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ascii="Adobe Garamond Pro" w:hAnsi="Adobe Garamond Pro" w:eastAsia="Adobe Garamond Pro" w:cs="Adobe Garamond Pro"/>
                <w:sz w:val="21"/>
                <w:szCs w:val="21"/>
                <w:lang w:eastAsia="zh-cn" w:bidi="hi-in"/>
              </w:rPr>
            </w:pPr>
            <w:r>
              <w:rPr>
                <w:rFonts w:ascii="Adobe Garamond Pro" w:hAnsi="Adobe Garamond Pro" w:eastAsia="Adobe Garamond Pro" w:cs="Adobe Garamond Pro"/>
                <w:sz w:val="21"/>
                <w:szCs w:val="21"/>
                <w:lang w:eastAsia="zh-cn" w:bidi="hi-in"/>
              </w:rPr>
              <w:t>HERV</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Einflüsse von störenden HERV-Aktivitäten</w:t>
              <w:br w:type="textWrapping"/>
              <w:t>Human Endogen Retro Virus, s.a. Judy Mikovitz (Mikovits)</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Parasiten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Filter Infestation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ascii="Adobe Garamond Pro" w:hAnsi="Adobe Garamond Pro" w:eastAsia="Adobe Garamond Pro" w:cs="Adobe Garamond Pro"/>
                <w:sz w:val="21"/>
                <w:szCs w:val="21"/>
                <w:lang w:eastAsia="zh-cn" w:bidi="hi-in"/>
              </w:rPr>
            </w:pPr>
            <w:r>
              <w:rPr>
                <w:rFonts w:ascii="Adobe Garamond Pro" w:hAnsi="Adobe Garamond Pro" w:eastAsia="Adobe Garamond Pro" w:cs="Adobe Garamond Pro"/>
                <w:sz w:val="21"/>
                <w:szCs w:val="21"/>
                <w:lang w:eastAsia="zh-cn" w:bidi="hi-in"/>
              </w:rPr>
              <w:t>Parasiten nicht-materiell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selbsterklärend</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 Mykose </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Testfilter</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 Schimmel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Wird von „Mykose“ nur bedingt gefunden, </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Infekt getarnt</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Latente, dormante, getarnte,versteckte Infektion</w:t>
              <w:br w:type="textWrapping"/>
              <w:t>spezieller als „Versteckter Herd“</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Intoxikation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Intox jeglicher Art, zur Wegnahme geeignet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Intox Filter</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Entsprechender Filter</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eastAsia="SimSun"/>
                <w:sz w:val="20"/>
                <w:szCs w:val="20"/>
                <w:lang w:eastAsia="zh-cn"/>
              </w:rPr>
            </w:pPr>
            <w:r>
              <w:rPr>
                <w:rFonts w:eastAsia="SimSun"/>
                <w:sz w:val="20"/>
                <w:szCs w:val="20"/>
                <w:lang w:eastAsia="zh-cn"/>
              </w:rPr>
              <w:t>Intox chemisch</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Selbsterklärend</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Intox Umweltgifte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Belastung durch „Umweltgifte“  Beziehung zu „chemisch“ und „Metalle“!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Intox Nahrungsmittelzusatz</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Belastung durch Nahrungsmittelzusatzstoffe allgemein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eastAsia="SimSun"/>
                <w:sz w:val="20"/>
                <w:szCs w:val="20"/>
                <w:lang w:eastAsia="zh-cn"/>
              </w:rPr>
            </w:pPr>
            <w:r>
              <w:rPr>
                <w:rFonts w:eastAsia="SimSun"/>
                <w:sz w:val="20"/>
                <w:szCs w:val="20"/>
                <w:lang w:eastAsia="zh-cn"/>
              </w:rPr>
              <w:t>Intox Metall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Selbsterklärend</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Hg</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Selbsterklärend</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Hg-Filter</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Selbsterklärend</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Fremdgewebe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Störungen durch eingebrachtes Fremdgewebe, u.a. durch Impfungen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Style w:val="para5"/>
              <w:spacing w:line="237" w:lineRule="exact"/>
              <w:rPr>
                <w:sz w:val="21"/>
              </w:rPr>
            </w:pPr>
            <w:r>
              <w:rPr>
                <w:sz w:val="21"/>
              </w:rPr>
              <w:t>Gefäßablagerungen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Inkl Ablagerungen wie Gallen,- Nieren,- Blasensteine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Entzündung</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Zur Bestimmung des Ausmaßes einer Entzündungsreaktion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Konstitution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Findet (unbestimmte) konstitutionelle Schwächen </w:t>
            </w:r>
          </w:p>
          <w:p>
            <w:pPr/>
            <w:r>
              <w:t>Ggf. ergänzen durch global Punkt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Regulation</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Findet (unbestimmte) Einschränkungen der Regulation</w:t>
            </w:r>
          </w:p>
          <w:p>
            <w:pPr/>
            <w:r>
              <w:t>Ggf. ergänzen durch global Punkt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TH1-TH2-Starre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Zur Beurteilung der TH1-TH2-Regulation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&gt; Stoffwechsel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„Die Stoffwechselstörung“, geeignet zur sim. Wegnahme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Style w:val="para5"/>
              <w:rPr>
                <w:sz w:val="21"/>
              </w:rPr>
            </w:pPr>
            <w:r>
              <w:rPr>
                <w:sz w:val="21"/>
              </w:rPr>
              <w:t>Stoffwechsel Filter</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Entsprechender Filter zur Bestimmung des Ausmßes und der Therapiekontrolle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Style w:val="para5"/>
              <w:rPr>
                <w:sz w:val="21"/>
              </w:rPr>
            </w:pPr>
            <w:r>
              <w:rPr>
                <w:sz w:val="21"/>
              </w:rPr>
              <w:t>Biochemie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Filter: Biochemische Störungen</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Style w:val="para5"/>
              <w:spacing w:line="233" w:lineRule="exact"/>
              <w:rPr>
                <w:sz w:val="21"/>
              </w:rPr>
            </w:pPr>
            <w:r>
              <w:rPr>
                <w:sz w:val="21"/>
              </w:rPr>
              <w:t>&lt; Allergie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„Die allergische oder Unverträglichkeitsreaktion“</w:t>
            </w:r>
          </w:p>
          <w:p>
            <w:pPr/>
            <w:r>
              <w:t>Geeignet zur sim. Wegnahme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E-Smog / Geopathie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Belastung durch EMF-Felder oder sog. geopathische Einflüsse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Nährstoffe</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Beeinträchtigung der (Mikro-)Nährstoffversorgung</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 Störherd zentral    </w:t>
            </w:r>
          </w:p>
          <w:p>
            <w:pPr/>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Gravierender Störherd mit potenzieller Behandlungspriorität</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&gt; autonom </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Zielt auf autonome und teilautonome Nervenzentren, die die Reizweiterleitung oder -verarbeitung behindern/blockieren. Zur Sim. Wegnahme geeignet, um die Auswirkungen abzuklären</w:t>
              <w:br w:type="textWrapping"/>
              <w:t>Nicht zu Verwechseln mit Autonomen Nervensystem</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autonom Filter  </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Filter zur Bestimmung der Ausprägung und zur Therapiekontrolle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 </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eastAsia="SimSun"/>
                <w:sz w:val="20"/>
                <w:szCs w:val="20"/>
                <w:lang w:eastAsia="zh-cn"/>
              </w:rPr>
            </w:pPr>
            <w:r>
              <w:rPr>
                <w:rFonts w:eastAsia="SimSun"/>
                <w:sz w:val="20"/>
                <w:szCs w:val="20"/>
                <w:lang w:eastAsia="zh-cn"/>
              </w:rPr>
              <w:t>neutral</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 xml:space="preserve">Neutralisert Einflüsse  von diagnostischen und therapeutischen Testinformationen. Hilfe bei der Mittelfindung nach ausführlicher Testung </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Diag-Hindernisse temp</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r>
              <w:t>Unterdrückt Diagnose Hindernisse wie Inversion und Oszillation temporär. Gedacht besonders für Akut- und Notfälle</w:t>
            </w:r>
          </w:p>
        </w:tc>
      </w:tr>
      <w:tr>
        <w:trPr>
          <w:tblHeader w:val="0"/>
          <w:cantSplit w:val="0"/>
          <w:trHeight w:val="0" w:hRule="auto"/>
        </w:trPr>
        <w:tc>
          <w:tcPr>
            <w:tcW w:w="555"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numPr>
                <w:ilvl w:val="0"/>
                <w:numId w:val="1"/>
              </w:numPr>
              <w:ind w:left="360" w:hanging="360"/>
            </w:pPr>
            <w:r/>
          </w:p>
        </w:tc>
        <w:tc>
          <w:tcPr>
            <w:tcW w:w="2959"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rPr>
                <w:rFonts w:eastAsia="SimSun"/>
                <w:sz w:val="20"/>
                <w:szCs w:val="20"/>
                <w:lang w:eastAsia="zh-cn"/>
              </w:rPr>
            </w:pPr>
            <w:r>
              <w:rPr>
                <w:rFonts w:eastAsia="SimSun"/>
                <w:sz w:val="20"/>
                <w:szCs w:val="20"/>
                <w:lang w:eastAsia="zh-cn"/>
              </w:rPr>
              <w:t>global Punkt   ersatz</w:t>
            </w:r>
          </w:p>
        </w:tc>
        <w:tc>
          <w:tcPr>
            <w:tcW w:w="5583" w:type="dxa"/>
            <w:shd w:val="none"/>
            <w:tcMar>
              <w:top w:w="57" w:type="dxa"/>
              <w:left w:w="57" w:type="dxa"/>
              <w:bottom w:w="119" w:type="dxa"/>
              <w:right w:w="57" w:type="dxa"/>
            </w:tcMar>
            <w:tcBorders>
              <w:top w:val="single" w:sz="6" w:space="0" w:color="000000" tmln="15, 20, 20, 0, 0"/>
              <w:left w:val="single" w:sz="6" w:space="0" w:color="000000" tmln="15, 20, 20, 0, 0"/>
              <w:bottom w:val="single" w:sz="6" w:space="0" w:color="000000" tmln="15, 20, 20, 0, 0"/>
              <w:right w:val="single" w:sz="6" w:space="0" w:color="000000" tmln="15, 20, 20, 0, 0"/>
              <w:tl2br w:val="nil" w:sz="0" w:space="0" w:color="000000" tmln="20, 20, 20, 0, 0"/>
              <w:tr2bl w:val="nil" w:sz="0" w:space="0" w:color="000000" tmln="20, 20, 20, 0, 0"/>
            </w:tcBorders>
            <w:tmTcPr id="1723311726" protected="1"/>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
              <w:t>Das Diagnoseröhrchen verwenden manche besonders häufig. Daher ein vorsorglicher Ersatz für Verlust oder Verdacht auf „Abnutzung“ (wovon ich 1x gehört habe nach 5 Jahren tgl vielfacher Verwendung- unbestätigter Verdachtsfall)).</w:t>
            </w:r>
          </w:p>
        </w:tc>
      </w:tr>
    </w:tbl>
    <w:p>
      <w:r/>
    </w:p>
    <w:p>
      <w:pPr>
        <w:spacing/>
        <w:jc w:val="both"/>
      </w:pPr>
      <w:r/>
    </w:p>
    <w:sectPr>
      <w:footnotePr>
        <w:pos w:val="pageBottom"/>
        <w:numFmt w:val="decimal"/>
        <w:numStart w:val="1"/>
        <w:numRestart w:val="continuous"/>
      </w:footnotePr>
      <w:endnotePr>
        <w:pos w:val="docEnd"/>
        <w:numFmt w:val="lowerRoman"/>
        <w:numStart w:val="1"/>
        <w:numRestart w:val="continuous"/>
      </w:endnotePr>
      <w:headerReference w:type="default" r:id="rId8"/>
      <w:footerReference w:type="default" r:id="rId9"/>
      <w:type w:val="nextPage"/>
      <w:pgSz w:h="16839" w:w="11907"/>
      <w:pgMar w:left="964" w:top="964" w:right="964" w:bottom="964" w:header="567"/>
      <w:paperSrc w:first="0" w:other="0" a="0" b="0"/>
      <w:pgNumType w:fmt="decimal"/>
      <w:tmGutter w:val="5"/>
      <w:mirrorMargins w:val="0"/>
      <w:tmSection w:h="-2">
        <w:tmHeader w:id="0" w:h="0" edge="567" text="0">
          <w:shd w:val="none"/>
        </w:tmHeader>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Adobe Garamond Pro">
    <w:panose1 w:val="0202050206050602040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spacing/>
      <w:jc w:val="center"/>
    </w:pPr>
    <w:r>
      <w:t>RAC-Diagnose 2024</w:t>
      <w:tab/>
      <w:t xml:space="preserve">© Thomas Techau </w:t>
      <w:tab/>
      <w:t>www.techau-resonator.de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1"/>
    <w:lvl w:ilvl="0">
      <w:start w:val="1"/>
      <w:numFmt w:val="decimal"/>
      <w:suff w:val="tab"/>
      <w:lvlText w:val="%1."/>
      <w:lvlJc w:val="left"/>
      <w:pPr>
        <w:ind w:left="0" w:hanging="0"/>
      </w:pPr>
    </w:lvl>
    <w:lvl w:ilvl="1">
      <w:start w:val="1"/>
      <w:numFmt w:val="decimal"/>
      <w:suff w:val="tab"/>
      <w:lvlText w:val="%1.%2."/>
      <w:lvlJc w:val="left"/>
      <w:pPr>
        <w:ind w:left="141" w:hanging="0"/>
      </w:pPr>
    </w:lvl>
    <w:lvl w:ilvl="2">
      <w:start w:val="1"/>
      <w:numFmt w:val="decimal"/>
      <w:suff w:val="tab"/>
      <w:lvlText w:val="%1.%2.%3."/>
      <w:lvlJc w:val="left"/>
      <w:pPr>
        <w:ind w:left="282" w:hanging="0"/>
      </w:pPr>
    </w:lvl>
    <w:lvl w:ilvl="3">
      <w:start w:val="1"/>
      <w:numFmt w:val="decimal"/>
      <w:suff w:val="tab"/>
      <w:lvlText w:val="%1.%2.%3.%4."/>
      <w:lvlJc w:val="left"/>
      <w:pPr>
        <w:ind w:left="423" w:hanging="0"/>
      </w:pPr>
    </w:lvl>
    <w:lvl w:ilvl="4">
      <w:start w:val="1"/>
      <w:numFmt w:val="decimal"/>
      <w:suff w:val="tab"/>
      <w:lvlText w:val="%1.%2.%3.%4.%5."/>
      <w:lvlJc w:val="left"/>
      <w:pPr>
        <w:ind w:left="564" w:hanging="0"/>
      </w:pPr>
    </w:lvl>
    <w:lvl w:ilvl="5">
      <w:start w:val="1"/>
      <w:numFmt w:val="decimal"/>
      <w:suff w:val="tab"/>
      <w:lvlText w:val="%1.%2.%3.%4.%5.%6."/>
      <w:lvlJc w:val="left"/>
      <w:pPr>
        <w:ind w:left="705" w:hanging="0"/>
      </w:pPr>
    </w:lvl>
    <w:lvl w:ilvl="6">
      <w:start w:val="1"/>
      <w:numFmt w:val="decimal"/>
      <w:suff w:val="tab"/>
      <w:lvlText w:val="%1.%2.%3.%4.%5.%6.%7."/>
      <w:lvlJc w:val="left"/>
      <w:pPr>
        <w:ind w:left="846" w:hanging="0"/>
      </w:pPr>
    </w:lvl>
    <w:lvl w:ilvl="7">
      <w:start w:val="1"/>
      <w:numFmt w:val="decimal"/>
      <w:suff w:val="tab"/>
      <w:lvlText w:val="%1.%2.%3.%4.%5.%6.%7.%8."/>
      <w:lvlJc w:val="left"/>
      <w:pPr>
        <w:ind w:left="987" w:hanging="0"/>
      </w:pPr>
    </w:lvl>
    <w:lvl w:ilvl="8">
      <w:start w:val="1"/>
      <w:numFmt w:val="decimal"/>
      <w:suff w:val="tab"/>
      <w:lvlText w:val="%1.%2.%3.%4.%5.%6.%7.%8.%9."/>
      <w:lvlJc w:val="left"/>
      <w:pPr>
        <w:ind w:left="1128" w:hanging="0"/>
      </w:pPr>
    </w:lvl>
  </w:abstractNum>
  <w:abstractNum w:abstractNumId="2">
    <w:multiLevelType w:val="singleLevel"/>
    <w:name w:val="Bullet 2"/>
    <w:lvl w:ilvl="0">
      <w:start w:val="1"/>
      <w:numFmt w:val="decimal"/>
      <w:suff w:val="tab"/>
      <w:lvlText w:val="%1"/>
      <w:lvlJc w:val="left"/>
      <w:pPr>
        <w:ind w:left="0" w:hanging="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view w:val="print"/>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doNotExpandShiftReturn w:val="1"/>
    <w:suppressSpBfAfterPgBrk w:val="1"/>
    <w:compatSetting w:name="compatibilityMode" w:uri="http://schemas.microsoft.com/office/word" w:val="15"/>
  </w:compat>
  <w:shapeDefaults>
    <o:shapedefaults v:ext="edit" spidmax="3073"/>
    <o:shapelayout v:ext="edit">
      <o:rules v:ext="edit"/>
    </o:shapelayout>
  </w:shapeDefaults>
  <w:tmPrefOne w:val="16"/>
  <w:tmPrefTwo w:val="1"/>
  <w:tmFmtPref w:val="55090411"/>
  <w:tmCommentsPr>
    <w:tmCommentsPlace w:val="0"/>
    <w:tmCommentsWidth w:val="3119"/>
    <w:tmCommentsColor w:val="-1"/>
  </w:tmCommentsPr>
  <w:tmReviewPr>
    <w:tmReviewEnabled w:val="0"/>
    <w:tmReviewShow w:val="1"/>
    <w:tmReviewPrint w:val="0"/>
    <w:tmRevisionNum w:val="36"/>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51"/>
    <w:tmLastPosCaret>
      <w:tmLastPosPgfIdx w:val="0"/>
      <w:tmLastPosIdx w:val="48"/>
    </w:tmLastPosCaret>
    <w:tmLastPosAnchor>
      <w:tmLastPosPgfIdx w:val="0"/>
      <w:tmLastPosIdx w:val="0"/>
    </w:tmLastPosAnchor>
    <w:tmLastPosTblRect w:left="0" w:top="0" w:right="0" w:bottom="0"/>
  </w:tmLastPos>
  <w:tmAppRevision w:date="1723311726" w:val="1214" w:fileVer="342" w:fileVer64="64" w:fileVerOS="4"/>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0"/>
        <w:szCs w:val="20"/>
        <w:lang w:val="de-de" w:eastAsia="zh-cn" w:bidi="ar-sa"/>
      </w:rPr>
    </w:rPrDefault>
    <w:pPrDefault>
      <w:pPr>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kern w:val="1"/>
      <w:sz w:val="22"/>
      <w:szCs w:val="22"/>
      <w:lang w:eastAsia="de-de"/>
    </w:rPr>
  </w:style>
  <w:style w:type="paragraph" w:styleId="para1">
    <w:name w:val="heading 1"/>
    <w:qFormat/>
    <w:basedOn w:val="para0"/>
    <w:next w:val="para0"/>
    <w:pPr>
      <w:spacing w:before="240" w:after="60"/>
      <w:keepNext/>
      <w:outlineLvl w:val="0"/>
      <w:keepLines/>
    </w:pPr>
    <w:rPr>
      <w:rFonts w:ascii="Arial" w:hAnsi="Arial" w:eastAsia="Arial" w:cs="Arial"/>
      <w:b/>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paragraph" w:styleId="para4">
    <w:name w:val="Header"/>
    <w:qFormat/>
    <w:basedOn w:val="para0"/>
    <w:pPr>
      <w:tabs defTabSz="708">
        <w:tab w:val="center" w:pos="7455" w:leader="none"/>
        <w:tab w:val="right" w:pos="14910" w:leader="none"/>
      </w:tabs>
    </w:pPr>
  </w:style>
  <w:style w:type="paragraph" w:styleId="para5" w:customStyle="1">
    <w:name w:val="Table Paragraph"/>
    <w:qFormat/>
    <w:basedOn w:val="para0"/>
    <w:pPr>
      <w:ind w:left="64"/>
      <w:spacing w:line="221" w:lineRule="exact"/>
      <w:tabs defTabSz="72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lang w:val="en-us" w:eastAsia="en-us"/>
    </w:r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Times New Roman" w:hAnsi="Times New Roman" w:eastAsia="Times New Roman" w:cs="Times New Roman"/>
        <w:sz w:val="20"/>
        <w:szCs w:val="20"/>
        <w:lang w:val="de-de" w:eastAsia="zh-cn" w:bidi="ar-sa"/>
      </w:rPr>
    </w:rPrDefault>
    <w:pPrDefault>
      <w:pPr>
        <w:widowControl w:val="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kern w:val="1"/>
      <w:sz w:val="22"/>
      <w:szCs w:val="22"/>
      <w:lang w:eastAsia="de-de"/>
    </w:rPr>
  </w:style>
  <w:style w:type="paragraph" w:styleId="para1">
    <w:name w:val="heading 1"/>
    <w:qFormat/>
    <w:basedOn w:val="para0"/>
    <w:next w:val="para0"/>
    <w:pPr>
      <w:spacing w:before="240" w:after="60"/>
      <w:keepNext/>
      <w:outlineLvl w:val="0"/>
      <w:keepLines/>
    </w:pPr>
    <w:rPr>
      <w:rFonts w:ascii="Arial" w:hAnsi="Arial" w:eastAsia="Arial" w:cs="Arial"/>
      <w:b/>
      <w:sz w:val="36"/>
      <w:szCs w:val="36"/>
    </w:rPr>
  </w:style>
  <w:style w:type="paragraph" w:styleId="para2">
    <w:name w:val="heading 2"/>
    <w:qFormat/>
    <w:basedOn w:val="para1"/>
    <w:next w:val="para0"/>
    <w:pPr>
      <w:outlineLvl w:val="1"/>
    </w:pPr>
    <w:rPr>
      <w:sz w:val="32"/>
      <w:szCs w:val="32"/>
    </w:rPr>
  </w:style>
  <w:style w:type="paragraph" w:styleId="para3">
    <w:name w:val="heading 3"/>
    <w:qFormat/>
    <w:basedOn w:val="para2"/>
    <w:next w:val="para0"/>
    <w:pPr>
      <w:outlineLvl w:val="2"/>
    </w:pPr>
    <w:rPr>
      <w:sz w:val="28"/>
      <w:szCs w:val="28"/>
    </w:rPr>
  </w:style>
  <w:style w:type="paragraph" w:styleId="para4">
    <w:name w:val="Header"/>
    <w:qFormat/>
    <w:basedOn w:val="para0"/>
    <w:pPr>
      <w:tabs defTabSz="708">
        <w:tab w:val="center" w:pos="7455" w:leader="none"/>
        <w:tab w:val="right" w:pos="14910" w:leader="none"/>
      </w:tabs>
    </w:pPr>
  </w:style>
  <w:style w:type="paragraph" w:styleId="para5" w:customStyle="1">
    <w:name w:val="Table Paragraph"/>
    <w:qFormat/>
    <w:basedOn w:val="para0"/>
    <w:pPr>
      <w:ind w:left="64"/>
      <w:spacing w:line="221" w:lineRule="exact"/>
      <w:tabs defTabSz="72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none"/>
    </w:pPr>
    <w:rPr>
      <w:lang w:val="en-us" w:eastAsia="en-us"/>
    </w:r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Arial"/>
        <a:cs typeface="Arial"/>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rev.1214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36</cp:revision>
  <cp:lastPrinted>2018-04-16T16:52:00Z</cp:lastPrinted>
  <dcterms:created xsi:type="dcterms:W3CDTF">2024-06-28T10:28:00Z</dcterms:created>
  <dcterms:modified xsi:type="dcterms:W3CDTF">2024-08-10T17:42:06Z</dcterms:modified>
</cp:coreProperties>
</file>