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webp" ContentType="image/png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r>
        <w:t>Test-Etui 2  © Thomas Techau  www.techau-resonator.de</w:t>
      </w:r>
    </w:p>
    <w:tbl>
      <w:tblPr>
        <w:tblStyle w:val="TableNormal"/>
        <w:name w:val="Tabelle1"/>
        <w:tabOrder w:val="0"/>
        <w:jc w:val="left"/>
        <w:tblInd w:w="0" w:type="dxa"/>
        <w:tblW w:w="9097" w:type="dxa"/>
        <w:tblLook w:val="0600" w:firstRow="0" w:lastRow="0" w:firstColumn="0" w:lastColumn="0" w:noHBand="1" w:noVBand="1"/>
      </w:tblPr>
      <w:tblGrid>
        <w:gridCol w:w="555"/>
        <w:gridCol w:w="2764"/>
        <w:gridCol w:w="5778"/>
      </w:tblGrid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&gt; Ursache Selbstheil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>
              <w:t>Findet Störherde, die die Selbstheilung beeinträchtigen. Zur Wegnahme geeignet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Selbstheilung Filter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>
              <w:t>Ermittelt mit Polfilter die Stärke der Störung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autoimmun</w:t>
            </w:r>
          </w:p>
        </w:tc>
        <w:tc>
          <w:tcPr>
            <w:tcW w:w="5778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/>
            <w:r>
              <w:t>Filter zur Bestimmung von autoimmun-Störungen</w:t>
              <w:br w:type="textWrapping"/>
              <w:t>Hilfreich im Zusammenhang mit der Immunsstemtestung s.u.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Immunsyst Stärke</w:t>
            </w:r>
          </w:p>
        </w:tc>
        <w:tc>
          <w:tcPr>
            <w:tcW w:w="5778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/>
            <w:r>
              <w:t>Misst die Stärke des Immunsystem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Immunsyst Belast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>
              <w:t>Misst den Grad der Belastung des Immunsystems</w:t>
            </w:r>
          </w:p>
          <w:p>
            <w:pPr/>
            <w:r>
              <w:t>Belastung bei starkem Imunsystem: belastende Faktoren suchen, Immunsystemstärkung nicht erfoderlich</w:t>
            </w:r>
          </w:p>
          <w:p>
            <w:pPr/>
            <w:r>
              <w:t>Belastung bei schwachem Immunsystem: Immunsystem stärken bzw. immunkorrumpierende Faktoren auffinden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„Batterie“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>
              <w:t xml:space="preserve">Globaltest der verfügbaren Lebensenergie / „Gesundheitskraft“. </w:t>
            </w:r>
          </w:p>
          <w:p>
            <w:pPr/>
            <w:r>
              <w:t>Burnout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E I Stärke-Belast-Diff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>
              <w:t>Ebenendefintion Immunsystem</w:t>
              <w:br w:type="textWrapping"/>
              <w:t>Stärke - Belastung (vgl. Einzelfilter) - Differenzierungfähigkeit (Bezug autoimmun)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E I aufmerk-weise-stark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>
              <w:t>Vergleichbare Ebenendefinition in der Terminologie die im Affirmationsmittel vorkommt</w:t>
            </w:r>
          </w:p>
          <w:p>
            <w:pPr/>
            <w:r>
              <w:t>Aufmerksam = Differenzierungsfähigkeit</w:t>
            </w:r>
          </w:p>
          <w:p>
            <w:pPr/>
            <w:r>
              <w:t>Weise = Sensitivitätund Spezifität</w:t>
            </w:r>
          </w:p>
          <w:p>
            <w:pPr/>
            <w:r>
              <w:t xml:space="preserve">Stark:Abwehrleistung „in PS“, tatsächliche Leistungsfähigkeit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>
              <w:pStyle w:val="para5"/>
              <w:spacing w:line="240" w:lineRule="auto"/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E körp psych seel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>
              <w:t xml:space="preserve">Ebenendefinition: 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Körperlich /organisch /metabolisch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Psychisch : Gedanken, Emotionen, Stimmung… alles was ein Anfang hat und Ende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 xml:space="preserve">Seelisch: was wir mitbringen und mitnehmen, auf dem Lebensweg sein (im Lebensfluss sein, Herzlichkeit, Erschütterungen, anderen Schaden zufügen) Gesundheit der Seele, die keinen Anfang hat und kein Ende </w:t>
            </w:r>
          </w:p>
          <w:p>
            <w:pPr/>
            <w:r>
              <w:t>Findet psychische Anteile von Symptomatiken. Es gibt Symptombilder, bei denen nur psychische / seelische Belastungen vorliegen und nur eine entsprechende Behandlung dauerhaft hilft. So lässt sich z.B. feststellen, ob eine Depression / depressiveVerstimmung möglicherweise allein auf Hg-Intox zurückzuführen ist. Und Vieles mehr</w:t>
              <w:br w:type="textWrapping"/>
              <w:t>Essentiell in der Psychoonkologie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>
              <w:pStyle w:val="para5"/>
              <w:spacing w:line="216" w:lineRule="exact"/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E Organ Matr intraz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>
              <w:t>Ebenendefinition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Körperlich /organisch /metabolisch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Matrix / „Pischinger Raum“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Intrazellulär</w:t>
            </w:r>
          </w:p>
          <w:p>
            <w:pPr/>
            <w:r/>
          </w:p>
          <w:p>
            <w:pPr/>
            <w:r>
              <w:t>Wichtig u.a. bei Vergiftungen / Ausleitungen und intrazellulären Erregern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>
              <w:pStyle w:val="para5"/>
              <w:rPr>
                <w:rFonts w:ascii="Goudita SF" w:hAnsi="Goudita SF" w:eastAsia="Goudita SF" w:cs="Goudita SF"/>
                <w:b/>
                <w:bCs/>
                <w:sz w:val="18"/>
                <w:szCs w:val="18"/>
                <w:u w:color="auto" w:val="single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  <w:u w:color="auto" w:val="single"/>
              </w:rPr>
              <w:t>E Intox Infekt Infest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>
              <w:t>Ebenendefinition selbsterklärend</w:t>
            </w:r>
          </w:p>
          <w:p>
            <w:pPr/>
            <w:r>
              <w:t>Ohne Röhrchenwechsel den Störherd eingrenzen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>
              <w:pStyle w:val="para5"/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E ursä Folge</w:t>
            </w:r>
            <w:r>
              <w:rPr>
                <w:rFonts w:ascii="Goudita SF" w:hAnsi="Goudita SF" w:eastAsia="Goudita SF" w:cs="Goudita SF"/>
                <w:b/>
                <w:bCs/>
                <w:spacing w:val="50" w:percent="158"/>
                <w:sz w:val="18"/>
                <w:szCs w:val="18"/>
              </w:rPr>
              <w:t xml:space="preserve"> </w:t>
            </w: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syst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>
              <w:t>Ebenendefinition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Ursächlicher Herd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Abhängiger Herd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Systemischer Herd</w:t>
            </w:r>
          </w:p>
          <w:p>
            <w:pPr/>
            <w:r>
              <w:t>Ursächlich - abhängig über Ebenen testen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>
              <w:pStyle w:val="para5"/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E ana kata kyber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>
              <w:t>Ebenendefinition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Anabole Prozesse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katabole Prozesse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Kybernetische / steuernde Prozesse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>
              <w:pStyle w:val="para5"/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E aff eff verarb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>
              <w:t>Ebenendefinition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Afferente Signalewege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Efferente Signalwege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Verarbeitende Signalwege</w:t>
            </w:r>
          </w:p>
          <w:p>
            <w:pPr/>
            <w:r>
              <w:t xml:space="preserve">Werden Reize 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richtig gesendet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richtig weitergeleitet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richtig verarbeitet</w:t>
            </w:r>
          </w:p>
          <w:p>
            <w:pPr>
              <w:numPr>
                <w:ilvl w:val="0"/>
                <w:numId w:val="0"/>
              </w:numPr>
              <w:ind w:left="0"/>
            </w:pPr>
            <w:r>
              <w:t>Zur Aufschlüsselung von komplexem Geschehen, Therapieversagen, immunologischem Geschehen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>
              <w:pStyle w:val="para5"/>
              <w:spacing w:line="240" w:lineRule="auto"/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E lokal fern abh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>
              <w:t>Ebenendefinition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Lokaler Herd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Fernwirkender Herd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Abhängiger Herd (von einem fernwirkenden Herd)</w:t>
            </w:r>
          </w:p>
          <w:p>
            <w:pPr/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E Strukt-Funkt-Regul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>
              <w:t>Ebenendefinition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Strukturelle Integrität (Struktur)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Funktionale Integrität (Funktion)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Regulatorische Integrität (Regulation)</w:t>
            </w:r>
          </w:p>
          <w:p>
            <w:pPr/>
            <w:r>
              <w:t>Bespiel: Überprüfung eines auffälligen Organs</w:t>
            </w:r>
          </w:p>
        </w:tc>
      </w:tr>
      <w:tr>
        <w:trPr>
          <w:tblHeader w:val="0"/>
          <w:cantSplit w:val="0"/>
          <w:trHeight w:val="120" w:hRule="atLeast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>
              <w:pStyle w:val="para5"/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E phys elek metab</w:t>
            </w:r>
          </w:p>
        </w:tc>
        <w:tc>
          <w:tcPr>
            <w:tcW w:w="5778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/>
            <w:r>
              <w:t>Ebenendefinition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Physikalische /mechanische Störung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Elektrische Störung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Metabolische Störung</w:t>
            </w:r>
          </w:p>
        </w:tc>
      </w:tr>
      <w:tr>
        <w:trPr>
          <w:tblHeader w:val="0"/>
          <w:cantSplit w:val="0"/>
          <w:trHeight w:val="120" w:hRule="atLeast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>
              <w:pStyle w:val="para5"/>
              <w:spacing w:line="240" w:lineRule="auto"/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E selbst fam</w:t>
            </w:r>
            <w:r>
              <w:rPr>
                <w:rFonts w:ascii="Goudita SF" w:hAnsi="Goudita SF" w:eastAsia="Goudita SF" w:cs="Goudita SF"/>
                <w:b/>
                <w:bCs/>
                <w:spacing w:val="49" w:percent="157"/>
                <w:sz w:val="18"/>
                <w:szCs w:val="18"/>
              </w:rPr>
              <w:t xml:space="preserve"> </w:t>
            </w: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g-fam</w:t>
            </w:r>
          </w:p>
          <w:p>
            <w:pPr>
              <w:pStyle w:val="para5"/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r>
          </w:p>
        </w:tc>
        <w:tc>
          <w:tcPr>
            <w:tcW w:w="5778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/>
            <w:r>
              <w:t>Ebenendefinition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Eigenes Thema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Thema aus dem aktuellen menschlichen Umfeld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Thema aus entferntem menschlichen Umfeld, mit dem kein direkter Kontakt besteht. Auch: frühere Leben</w:t>
            </w:r>
          </w:p>
          <w:p>
            <w:pPr/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ZW maligne</w:t>
            </w:r>
          </w:p>
        </w:tc>
        <w:tc>
          <w:tcPr>
            <w:tcW w:w="5778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/>
            <w:r>
              <w:t>Zellwucherung bösartig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ZW benigne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>
              <w:t>Zellwucherung gutartig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&gt; ZW Ursache</w:t>
            </w:r>
          </w:p>
        </w:tc>
        <w:tc>
          <w:tcPr>
            <w:tcW w:w="5778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/>
            <w:r>
              <w:t>Den Tumor unterstützende oder auslösende Störherde</w:t>
            </w:r>
          </w:p>
          <w:p>
            <w:pPr/>
            <w:r>
              <w:t>Zur sim. Wegnahme geeignet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&gt; Depolarisation</w:t>
            </w:r>
          </w:p>
        </w:tc>
        <w:tc>
          <w:tcPr>
            <w:tcW w:w="5778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/>
            <w:r>
              <w:t>Fortgeschrittene Tumore können depolarisieren, also keine geordnete Zellstrahlung abgebend. Sie sind dann mit einem Polfilter (90° Winkel) nicht mehr detektierbar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&gt; Stammtumor</w:t>
            </w:r>
          </w:p>
        </w:tc>
        <w:tc>
          <w:tcPr>
            <w:tcW w:w="5778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/>
            <w:r>
              <w:t>Steht für den ersten/maßgeblichen Tumor mit Test- und Behandlungspriorität (auch bei psychischen Ursachen)</w:t>
            </w:r>
          </w:p>
          <w:p>
            <w:pPr/>
            <w:r>
              <w:t>Geeignet zur sim. Wegnahme (z.B. Für Auswirkungen auf „Tochtertumore“)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 xml:space="preserve">Tochtertumor </w:t>
            </w:r>
          </w:p>
        </w:tc>
        <w:tc>
          <w:tcPr>
            <w:tcW w:w="5778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/>
            <w:r>
              <w:t>In Folge entstandener Tumor. Die Auswirkung der Behandlung des Primär-/Stammtumors ist mit Filter zu testenb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&gt; ZW Stammelle</w:t>
            </w:r>
          </w:p>
        </w:tc>
        <w:tc>
          <w:tcPr>
            <w:tcW w:w="5778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/>
            <w:r>
              <w:t>Zur Bestimmung von vorhandenen CA-.Stammzellen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ZW Stammzelle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>
              <w:t>Zur Kontrolle von  CA-.Stammzellen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ZW progredient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>
              <w:t>Fortschreitende Neoplasien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ZW regredient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>
              <w:t>Rückläufige Neoplasien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Zyste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>
              <w:t>= kein Tumorgeschehen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>
              <w:t xml:space="preserve"> </w:t>
            </w:r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>E  beni- mali - gekaps</w:t>
            </w:r>
          </w:p>
        </w:tc>
        <w:tc>
          <w:tcPr>
            <w:tcW w:w="5778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/>
            <w:r>
              <w:t>Ebenendefinition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Benigner Tumor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Maligner Tumor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Gekapselter Tumor</w:t>
            </w:r>
          </w:p>
          <w:p>
            <w:pPr/>
            <w:r>
              <w:t>Zur Tumortestung über Ebenen</w:t>
            </w:r>
          </w:p>
        </w:tc>
      </w:tr>
      <w:tr>
        <w:trPr>
          <w:tblHeader w:val="0"/>
          <w:cantSplit w:val="0"/>
          <w:trHeight w:val="120" w:hRule="atLeast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Goudita SF" w:hAnsi="Goudita SF" w:eastAsia="Goudita SF" w:cs="Goudita SF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 xml:space="preserve">E </w:t>
            </w: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  <w:lang w:eastAsia="zh-cn"/>
              </w:rPr>
              <w:t>Stamm-Tochter-</w:t>
            </w: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  <w:lang w:eastAsia="zh-cn"/>
              </w:rPr>
              <w:t>StZell</w:t>
            </w: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  <w:lang w:eastAsia="zh-cn"/>
              </w:rPr>
            </w:r>
          </w:p>
        </w:tc>
        <w:tc>
          <w:tcPr>
            <w:tcW w:w="5778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/>
            <w:r>
              <w:t>Ebenendefinition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Stammtumor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Tochtertumor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CA-Stammzelle</w:t>
            </w:r>
          </w:p>
          <w:p>
            <w:pPr/>
            <w:r>
              <w:t>Zur Tumortestung über Ebenen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>
              <w:pBdr>
                <w:top w:val="nil" w:sz="0" w:space="0" w:color="000000" tmln="20, 20, 20, 0, 0"/>
                <w:left w:val="nil" w:sz="0" w:space="0" w:color="000000" tmln="20, 20, 20, 0, 0"/>
                <w:bottom w:val="nil" w:sz="0" w:space="0" w:color="000000" tmln="20, 20, 20, 0, 0"/>
                <w:right w:val="nil" w:sz="0" w:space="0" w:color="000000" tmln="20, 20, 20, 0, 0"/>
                <w:between w:val="nil" w:sz="0" w:space="0" w:color="000000" tmln="20, 20, 20, 0, 0"/>
              </w:pBdr>
              <w:shd w:val="none"/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b/>
                <w:bCs/>
                <w:sz w:val="18"/>
                <w:szCs w:val="18"/>
              </w:rPr>
              <w:t xml:space="preserve">  E  progredient- regredient- statisch</w:t>
            </w:r>
          </w:p>
        </w:tc>
        <w:tc>
          <w:tcPr>
            <w:tcW w:w="5778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/>
            <w:r>
              <w:t>Ebenendefinition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ZW progredient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ZW regredient</w:t>
            </w:r>
          </w:p>
          <w:p>
            <w:pPr>
              <w:numPr>
                <w:ilvl w:val="0"/>
                <w:numId w:val="3"/>
              </w:numPr>
              <w:ind w:left="360" w:hanging="360"/>
            </w:pPr>
            <w:r>
              <w:t>ZW statisch</w:t>
            </w:r>
          </w:p>
          <w:p>
            <w:pPr/>
            <w:r>
              <w:t>Zur Tumortestung über Ebenen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Selbstzerstörung exo</w:t>
            </w:r>
          </w:p>
        </w:tc>
        <w:tc>
          <w:tcPr>
            <w:tcW w:w="5778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>
              <w:rPr>
                <w:rFonts w:ascii="Goudita SF" w:hAnsi="Goudita SF" w:eastAsia="Goudita SF" w:cs="Goudita SF"/>
                <w:sz w:val="18"/>
                <w:szCs w:val="18"/>
              </w:rPr>
            </w:pPr>
            <w:r>
              <w:rPr>
                <w:rFonts w:ascii="Goudita SF" w:hAnsi="Goudita SF" w:eastAsia="Goudita SF" w:cs="Goudita SF"/>
                <w:sz w:val="18"/>
                <w:szCs w:val="18"/>
              </w:rPr>
              <w:t>Selbstzerstörungsfaktoren, -programme von außen kommend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Selbstzerstörung endo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ascii="Goudita SF" w:hAnsi="Goudita SF" w:eastAsia="Goudita SF" w:cs="Goudita SF"/>
                <w:sz w:val="18"/>
                <w:szCs w:val="18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Endogene </w:t>
            </w:r>
            <w:r>
              <w:rPr>
                <w:rFonts w:ascii="Goudita SF" w:hAnsi="Goudita SF" w:eastAsia="Goudita SF" w:cs="Goudita SF"/>
                <w:sz w:val="18"/>
                <w:szCs w:val="18"/>
              </w:rPr>
              <w:t>Selbstzerstörungsfaktoren, -programme</w:t>
            </w:r>
            <w:r>
              <w:rPr>
                <w:rFonts w:ascii="Goudita SF" w:hAnsi="Goudita SF" w:eastAsia="Goudita SF" w:cs="Goudita SF"/>
                <w:sz w:val="18"/>
                <w:szCs w:val="18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>
              <w:pStyle w:val="para5"/>
              <w:spacing w:line="220" w:lineRule="exact"/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&lt; ZNS Störherd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Störherd im ZNS</w:t>
            </w:r>
          </w:p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Zur sim Wegnahme geeignet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>
              <w:pStyle w:val="para5"/>
              <w:spacing w:line="240" w:lineRule="auto"/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ZNS assoz StH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Testung eines mit dem ZNS in Verbindung stehenden Störherdes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 xml:space="preserve">&gt; Dental ursächlich  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Ursächlicher /primärer Dentalherd</w:t>
            </w:r>
          </w:p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Geeignet zur sim. Wegnahme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Dental abhängig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Filter abhängiger dentaler Störherd, z.B. bei umgekehrter Zahn-Organ-Beziehungs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&gt; Dental Start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Fernwirkender Dentalherd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Dental Ziel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Zielareal -organ eines fernwirkenden dentalen Störherdes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CMD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Zeigt auf cranio-mandibuläre Dysfunktion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HPG-Achse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Zur Testung des Funktionszustandes HPG Achse</w:t>
            </w:r>
          </w:p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Hypothalamus-Hypophysen-GonadenAchse</w:t>
            </w:r>
          </w:p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HPA-Achse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Zur Testung des Funktionszustandes HPA Achs</w:t>
            </w:r>
          </w:p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Hypothalamus-Hypophysen-Nebenniere-Achse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Nebenniere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selbsterklärend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&gt; Schock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Findet durch Schocks beeinflusste / ausgelöste Störherde</w:t>
            </w:r>
          </w:p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Zur sim. Wegnmahme geeignet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 xml:space="preserve">Schock  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tabs defTabSz="708">
                <w:tab w:val="left" w:pos="4877" w:leader="none"/>
              </w:tabs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Misst durch Schocks beeinflusste / ausgelöste Störherde mittels Polfilter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&gt; Amygdala Block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„Amagdala-Hijack“. Störung ermitteln, zur Wegnahme geeignet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Konflikt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tabs defTabSz="708">
                <w:tab w:val="left" w:pos="4877" w:leader="none"/>
              </w:tabs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Misst durch Konflikte beeinflusste / ausgelöste Störherde mittels Polfilter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>
              <w:pStyle w:val="para5"/>
              <w:spacing w:line="239" w:lineRule="exact"/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Entoderm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Zum Test des keimblattorientierten Funktionskreises</w:t>
            </w:r>
          </w:p>
          <w:p>
            <w:pPr>
              <w:numPr>
                <w:ilvl w:val="0"/>
                <w:numId w:val="4"/>
              </w:numPr>
              <w:ind w:left="360" w:hanging="360"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Zum Erkennen möglichweise unentdeckter Zusammenhänge</w:t>
            </w:r>
          </w:p>
          <w:p>
            <w:pPr>
              <w:numPr>
                <w:ilvl w:val="0"/>
                <w:numId w:val="4"/>
              </w:numPr>
              <w:ind w:left="360" w:hanging="360"/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Hilfe bei Arbeit nach Hamer, Diagnostik und Therapiekontrolle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>
              <w:pStyle w:val="para5"/>
              <w:spacing w:line="217" w:lineRule="exact"/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Mesoderm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Zum Test des keimblattorientierten Funktionskreises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>
              <w:pStyle w:val="para5"/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Ektoderm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Zum Test des keimblattorientierten Funktionskreises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Style w:val="para5"/>
              <w:spacing w:line="239" w:lineRule="exact"/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TCM Holz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Testet den Zustand der TCM entstammenden „Elemente“. Vorschlag: über dem Bauchnabel (TCM Funktionskreis)</w:t>
            </w:r>
          </w:p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Zum Ermitteln des ursächlich betroffenen Elements - auch in Verbindung mit „ursächlicher“ und „abhängiger Herd“</w:t>
              <w:br w:type="textWrapping"/>
              <w:t>Zum Eingrenzen psychischer Belastungen. Die TCM-Charakteristiken haben sich oft als treffend und hilfreich beim Ermitteln des relevanten Themas Themas erwiesen. Zusammen mit der Zeitstrahltestung (F-Kurs) noch bessser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>
              <w:pStyle w:val="para5"/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TCM Element Feuer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Interessierte können mit eigenen Filtern noch detaillierter testen.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>
              <w:pStyle w:val="para5"/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TCM Element Erde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>
              <w:pStyle w:val="para5"/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TCM Element Metall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</w:tcBorders>
            <w:tmTcPr id="1720765698" protected="1"/>
          </w:tcPr>
          <w:p>
            <w:pPr>
              <w:pStyle w:val="para5"/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18"/>
                <w:szCs w:val="18"/>
              </w:rPr>
              <w:t>TCM Element Wasser</w:t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/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/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/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/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/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/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Style w:val="para5"/>
              <w:spacing w:line="237" w:lineRule="exact"/>
              <w:rPr>
                <w:b/>
                <w:sz w:val="21"/>
              </w:rPr>
            </w:pPr>
            <w:r>
              <w:rPr>
                <w:b/>
                <w:sz w:val="21"/>
              </w:rPr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Style w:val="para5"/>
              <w:spacing w:line="237" w:lineRule="exact"/>
              <w:rPr>
                <w:b/>
                <w:sz w:val="21"/>
              </w:rPr>
            </w:pPr>
            <w:r>
              <w:rPr>
                <w:b/>
                <w:sz w:val="21"/>
              </w:rPr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/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2764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</w:pPr>
            <w:r>
              <w:rPr>
                <w:rFonts w:eastAsia="SimSun"/>
                <w:sz w:val="20"/>
                <w:szCs w:val="20"/>
                <w:lang w:eastAsia="zh-cn"/>
              </w:rPr>
              <w:t xml:space="preserve">iatrogen, chronisch  </w:t>
            </w:r>
            <w:r>
              <w:t xml:space="preserve">&gt; Primär-Herd = ursächl? </w:t>
            </w:r>
          </w:p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</w:r>
          </w:p>
        </w:tc>
        <w:tc>
          <w:tcPr>
            <w:tcW w:w="5778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0765698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</w:r>
          </w:p>
        </w:tc>
      </w:tr>
    </w:tbl>
    <w:p>
      <w:r/>
    </w:p>
    <w:p>
      <w:r/>
    </w:p>
    <w:p>
      <w:r>
        <w:t>Beispiele Kombi</w:t>
      </w:r>
    </w:p>
    <w:p>
      <w:r>
        <w:t>versteckter Herd + Fern-Herd</w:t>
      </w:r>
    </w:p>
    <w:p>
      <w:r>
        <w:t>Fern-Herd Ziel  Kabelmethode: A auf Fern-Herd  B: Ziel suchen</w:t>
      </w:r>
    </w:p>
    <w:p>
      <w:r>
        <w:t>? Kontrolle: Finger auf FernHerd Ziel testen</w:t>
      </w:r>
    </w:p>
    <w:p>
      <w:r/>
    </w:p>
    <w:p>
      <w:r>
        <w:t>Global Punkt + Ebene</w:t>
      </w:r>
    </w:p>
    <w:p>
      <w:r/>
    </w:p>
    <w:p>
      <w:r>
        <w:t>Hinweis</w:t>
      </w:r>
    </w:p>
    <w:p>
      <w:r>
        <w:t>Tumortestungen können über gezielte eigene Filter erweitert werden</w:t>
      </w:r>
    </w:p>
    <w:p>
      <w:r>
        <w:t>spezielle Gene, Makrophagen</w:t>
      </w:r>
    </w:p>
    <w:p>
      <w:r>
        <w:t xml:space="preserve">Bin für Rückmeldungen dankbar.  </w:t>
      </w:r>
    </w:p>
    <w:p>
      <w:r>
        <w:t>Diese werden weitergegeben.</w:t>
      </w:r>
    </w:p>
    <w:p>
      <w:r>
        <w:t>Ggf und bei Bedarf entsteht daraus eine erweitertes Testset</w:t>
      </w:r>
    </w:p>
    <w:p>
      <w:r>
        <w:t>Keimblätter</w:t>
      </w:r>
    </w:p>
    <w:p>
      <w:r>
        <w:t>s.a. diag 1 extern ende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headerReference w:type="default" r:id="rId8"/>
      <w:footerReference w:type="default" r:id="rId9"/>
      <w:type w:val="nextPage"/>
      <w:pgSz w:h="16839" w:w="11907"/>
      <w:pgMar w:left="964" w:top="964" w:right="964" w:bottom="964" w:header="567"/>
      <w:paperSrc w:first="0" w:other="0" a="0" b="0"/>
      <w:pgNumType w:fmt="decimal"/>
      <w:tmGutter w:val="5"/>
      <w:mirrorMargins w:val="0"/>
      <w:tmSection w:h="-2">
        <w:tmHeader w:id="0" w:h="0" edge="567" text="0">
          <w:shd w:val="none"/>
        </w:tmHeader>
        <w:tmFooter w:id="0" w:h="0" edge="720" text="0">
          <w:shd w:val="none"/>
        </w:tmFoot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  <w:foldMarks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Adobe Garamond Pro">
    <w:panose1 w:val="02020603050405020304"/>
    <w:charset w:val="00"/>
    <w:family w:val="roman"/>
    <w:pitch w:val="default"/>
  </w:font>
  <w:font w:name="Goudita SF"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r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r>
      <w:tab/>
      <w:t xml:space="preserve">© Thomas Techau </w:t>
      <w:tab/>
      <w:t>www.techau-resonator.de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Nummerierungsliste 1"/>
    <w:lvl w:ilvl="0">
      <w:start w:val="1"/>
      <w:numFmt w:val="decimal"/>
      <w:suff w:val="tab"/>
      <w:lvlText w:val="%1."/>
      <w:lvlJc w:val="left"/>
      <w:pPr>
        <w:ind w:left="0" w:hanging="0"/>
      </w:pPr>
    </w:lvl>
    <w:lvl w:ilvl="1">
      <w:start w:val="1"/>
      <w:numFmt w:val="decimal"/>
      <w:suff w:val="tab"/>
      <w:lvlText w:val="%1.%2."/>
      <w:lvlJc w:val="left"/>
      <w:pPr>
        <w:ind w:left="141" w:hanging="0"/>
      </w:pPr>
    </w:lvl>
    <w:lvl w:ilvl="2">
      <w:start w:val="1"/>
      <w:numFmt w:val="decimal"/>
      <w:suff w:val="tab"/>
      <w:lvlText w:val="%1.%2.%3."/>
      <w:lvlJc w:val="left"/>
      <w:pPr>
        <w:ind w:left="282" w:hanging="0"/>
      </w:pPr>
    </w:lvl>
    <w:lvl w:ilvl="3">
      <w:start w:val="1"/>
      <w:numFmt w:val="decimal"/>
      <w:suff w:val="tab"/>
      <w:lvlText w:val="%1.%2.%3.%4."/>
      <w:lvlJc w:val="left"/>
      <w:pPr>
        <w:ind w:left="423" w:hanging="0"/>
      </w:pPr>
    </w:lvl>
    <w:lvl w:ilvl="4">
      <w:start w:val="1"/>
      <w:numFmt w:val="decimal"/>
      <w:suff w:val="tab"/>
      <w:lvlText w:val="%1.%2.%3.%4.%5."/>
      <w:lvlJc w:val="left"/>
      <w:pPr>
        <w:ind w:left="564" w:hanging="0"/>
      </w:pPr>
    </w:lvl>
    <w:lvl w:ilvl="5">
      <w:start w:val="1"/>
      <w:numFmt w:val="decimal"/>
      <w:suff w:val="tab"/>
      <w:lvlText w:val="%1.%2.%3.%4.%5.%6."/>
      <w:lvlJc w:val="left"/>
      <w:pPr>
        <w:ind w:left="705" w:hanging="0"/>
      </w:pPr>
    </w:lvl>
    <w:lvl w:ilvl="6">
      <w:start w:val="1"/>
      <w:numFmt w:val="decimal"/>
      <w:suff w:val="tab"/>
      <w:lvlText w:val="%1.%2.%3.%4.%5.%6.%7."/>
      <w:lvlJc w:val="left"/>
      <w:pPr>
        <w:ind w:left="846" w:hanging="0"/>
      </w:pPr>
    </w:lvl>
    <w:lvl w:ilvl="7">
      <w:start w:val="1"/>
      <w:numFmt w:val="decimal"/>
      <w:suff w:val="tab"/>
      <w:lvlText w:val="%1.%2.%3.%4.%5.%6.%7.%8."/>
      <w:lvlJc w:val="left"/>
      <w:pPr>
        <w:ind w:left="987" w:hanging="0"/>
      </w:pPr>
    </w:lvl>
    <w:lvl w:ilvl="8">
      <w:start w:val="1"/>
      <w:numFmt w:val="decimal"/>
      <w:suff w:val="tab"/>
      <w:lvlText w:val="%1.%2.%3.%4.%5.%6.%7.%8.%9."/>
      <w:lvlJc w:val="left"/>
      <w:pPr>
        <w:ind w:left="1128" w:hanging="0"/>
      </w:pPr>
    </w:lvl>
  </w:abstractNum>
  <w:abstractNum w:abstractNumId="2">
    <w:multiLevelType w:val="singleLevel"/>
    <w:name w:val="Bullet 2"/>
    <w:lvl w:ilvl="0">
      <w:start w:val="1"/>
      <w:numFmt w:val="decimal"/>
      <w:suff w:val="tab"/>
      <w:lvlText w:val="%1"/>
      <w:lvlJc w:val="left"/>
      <w:pPr>
        <w:ind w:left="0" w:hanging="0"/>
      </w:pPr>
    </w:lvl>
  </w:abstractNum>
  <w:abstractNum w:abstractNumId="3">
    <w:multiLevelType w:val="singleLevel"/>
    <w:name w:val="Bullet 3"/>
    <w:lvl w:ilvl="0">
      <w:numFmt w:val="bullet"/>
      <w:suff w:val="tab"/>
      <w:lvlText w:val=""/>
      <w:lvlJc w:val="left"/>
      <w:pPr>
        <w:ind w:left="0" w:hanging="0"/>
      </w:pPr>
      <w:rPr>
        <w:rFonts w:ascii="Wingdings" w:hAnsi="Wingdings" w:eastAsia="Wingdings" w:cs="Wingdings"/>
      </w:rPr>
    </w:lvl>
  </w:abstractNum>
  <w:abstractNum w:abstractNumId="4">
    <w:multiLevelType w:val="singleLevel"/>
    <w:name w:val="Bullet 4"/>
    <w:lvl w:ilvl="0"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eastAsia="Wingdings" w:cs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view w:val="print"/>
  <w:defaultTabStop w:val="708"/>
  <w:autoHyphenation w:val="1"/>
  <w:doNotShadeFormData w:val="1"/>
  <w:captions>
    <w:caption w:name="Tabelle" w:pos="below" w:numFmt="decimal"/>
    <w:caption w:name="Abbildung" w:pos="below" w:numFmt="decimal"/>
    <w:caption w:name="Grafik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doNotExpandShiftReturn w:val="1"/>
    <w:suppressSpBfAfterPgBrk w:val="1"/>
    <w:compatSetting w:name="compatibilityMode" w:uri="http://schemas.microsoft.com/office/word" w:val="15"/>
  </w:compat>
  <w:shapeDefaults>
    <o:shapedefaults v:ext="edit" spidmax="3073"/>
    <o:shapelayout v:ext="edit">
      <o:rules v:ext="edit"/>
    </o:shapelayout>
  </w:shapeDefaults>
  <w:tmPrefOne w:val="16"/>
  <w:tmPrefTwo w:val="1"/>
  <w:tmFmtPref w:val="55090411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3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2"/>
    <w:tmLastPosSelect w:val="0"/>
    <w:tmLastPosFrameIdx w:val="162"/>
    <w:tmLastPosCaret>
      <w:tmLastPosPgfIdx w:val="0"/>
      <w:tmLastPosIdx w:val="68"/>
    </w:tmLastPosCaret>
    <w:tmLastPosAnchor>
      <w:tmLastPosPgfIdx w:val="0"/>
      <w:tmLastPosIdx w:val="0"/>
    </w:tmLastPosAnchor>
    <w:tmLastPosTblRect w:left="0" w:top="0" w:right="0" w:bottom="0"/>
  </w:tmLastPos>
  <w:tmAppRevision w:date="1720765698" w:val="1214" w:fileVer="342" w:fileVer64="64" w:fileVerOS="4"/>
  <w:guidesAndGrid showGuides="1" lockGuides="0" snapToGuides="1" snapToPageMargins="0" snapToOtherObjects="1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0"/>
        <w:lang w:val="de-de" w:eastAsia="zh-cn" w:bidi="ar-sa"/>
      </w:rPr>
    </w:rPrDefault>
    <w:pPrDefault>
      <w:pPr>
        <w:widowControl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kern w:val="1"/>
      <w:sz w:val="22"/>
      <w:szCs w:val="22"/>
      <w:lang w:eastAsia="de-de"/>
    </w:rPr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eastAsia="Arial" w:cs="Arial"/>
      <w:b/>
      <w:sz w:val="36"/>
      <w:szCs w:val="36"/>
    </w:rPr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</w:style>
  <w:style w:type="paragraph" w:styleId="para4">
    <w:name w:val="Header"/>
    <w:qFormat/>
    <w:basedOn w:val="para0"/>
    <w:pPr>
      <w:tabs defTabSz="708">
        <w:tab w:val="center" w:pos="7455" w:leader="none"/>
        <w:tab w:val="right" w:pos="14910" w:leader="none"/>
      </w:tabs>
    </w:pPr>
  </w:style>
  <w:style w:type="paragraph" w:styleId="para5" w:customStyle="1">
    <w:name w:val="Table Paragraph"/>
    <w:qFormat/>
    <w:basedOn w:val="para0"/>
    <w:pPr>
      <w:ind w:left="64"/>
      <w:spacing w:line="221" w:lineRule="exact"/>
      <w:tabs defTabSz="720"/>
      <w:pBdr>
        <w:top w:val="nil" w:sz="0" w:space="3" w:color="000000" tmln="20, 20, 20, 0, 60"/>
        <w:left w:val="nil" w:sz="0" w:space="3" w:color="000000" tmln="20, 20, 20, 0, 60"/>
        <w:bottom w:val="nil" w:sz="0" w:space="3" w:color="000000" tmln="20, 20, 20, 0, 60"/>
        <w:right w:val="nil" w:sz="0" w:space="3" w:color="000000" tmln="20, 20, 20, 0, 60"/>
        <w:between w:val="nil" w:sz="0" w:space="0" w:color="000000" tmln="20, 20, 20, 0, 0"/>
      </w:pBdr>
      <w:shd w:val="none"/>
    </w:pPr>
    <w:rPr>
      <w:lang w:val="en-us" w:eastAsia="en-us"/>
    </w:rPr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Times New Roman" w:cs="Times New Roman"/>
        <w:sz w:val="20"/>
        <w:szCs w:val="20"/>
        <w:lang w:val="de-de" w:eastAsia="zh-cn" w:bidi="ar-sa"/>
      </w:rPr>
    </w:rPrDefault>
    <w:pPrDefault>
      <w:pPr>
        <w:widowControl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kern w:val="1"/>
      <w:sz w:val="22"/>
      <w:szCs w:val="22"/>
      <w:lang w:eastAsia="de-de"/>
    </w:rPr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eastAsia="Arial" w:cs="Arial"/>
      <w:b/>
      <w:sz w:val="36"/>
      <w:szCs w:val="36"/>
    </w:rPr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</w:style>
  <w:style w:type="paragraph" w:styleId="para4">
    <w:name w:val="Header"/>
    <w:qFormat/>
    <w:basedOn w:val="para0"/>
    <w:pPr>
      <w:tabs defTabSz="708">
        <w:tab w:val="center" w:pos="7455" w:leader="none"/>
        <w:tab w:val="right" w:pos="14910" w:leader="none"/>
      </w:tabs>
    </w:pPr>
  </w:style>
  <w:style w:type="paragraph" w:styleId="para5" w:customStyle="1">
    <w:name w:val="Table Paragraph"/>
    <w:qFormat/>
    <w:basedOn w:val="para0"/>
    <w:pPr>
      <w:ind w:left="64"/>
      <w:spacing w:line="221" w:lineRule="exact"/>
      <w:tabs defTabSz="720"/>
      <w:pBdr>
        <w:top w:val="nil" w:sz="0" w:space="3" w:color="000000" tmln="20, 20, 20, 0, 60"/>
        <w:left w:val="nil" w:sz="0" w:space="3" w:color="000000" tmln="20, 20, 20, 0, 60"/>
        <w:bottom w:val="nil" w:sz="0" w:space="3" w:color="000000" tmln="20, 20, 20, 0, 60"/>
        <w:right w:val="nil" w:sz="0" w:space="3" w:color="000000" tmln="20, 20, 20, 0, 60"/>
        <w:between w:val="nil" w:sz="0" w:space="0" w:color="000000" tmln="20, 20, 20, 0, 0"/>
      </w:pBdr>
      <w:shd w:val="none"/>
    </w:pPr>
    <w:rPr>
      <w:lang w:val="en-us" w:eastAsia="en-us"/>
    </w:rPr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eader" Target="header1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Arial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2024 rev.1214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32</cp:revision>
  <cp:lastPrinted>2018-04-16T16:52:00Z</cp:lastPrinted>
  <dcterms:created xsi:type="dcterms:W3CDTF">2024-06-28T10:28:00Z</dcterms:created>
  <dcterms:modified xsi:type="dcterms:W3CDTF">2024-07-12T06:28:18Z</dcterms:modified>
</cp:coreProperties>
</file>